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09" w:rsidRDefault="00063409" w:rsidP="000F7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</w:pPr>
      <w:bookmarkStart w:id="0" w:name="_GoBack"/>
      <w:bookmarkEnd w:id="0"/>
      <w:r w:rsidRPr="00063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Cumplimiento SAR</w:t>
      </w:r>
    </w:p>
    <w:p w:rsidR="000F788C" w:rsidRPr="00063409" w:rsidRDefault="000F788C" w:rsidP="000F7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063409" w:rsidRPr="00063409" w:rsidRDefault="00063409" w:rsidP="000F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Informes recientes de </w:t>
      </w:r>
      <w:r w:rsidR="00165AE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estudios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en Francia han discutido el valor SAR de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a exposición de los usuarios a la energía de radiofrecuencia (RF) mientras 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se utilizan dispositivos móviles.</w:t>
      </w:r>
    </w:p>
    <w:p w:rsidR="00E0188A" w:rsidRDefault="00063409" w:rsidP="000F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El valor SAR </w:t>
      </w:r>
      <w:r w:rsidRPr="00063409">
        <w:rPr>
          <w:rFonts w:ascii="Times New Roman" w:eastAsia="Times New Roman" w:hAnsi="Times New Roman" w:cs="Times New Roman"/>
          <w:color w:val="000000"/>
          <w:sz w:val="12"/>
          <w:szCs w:val="12"/>
          <w:lang w:eastAsia="es-MX"/>
        </w:rPr>
        <w:t>1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es una medida de la cantidad de energía de RF absorbida por el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c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uerpo cuando se utiliza un teléfono móvil. Los valores SAR reportados para cada modelo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 telefonía móvil tienden a exagerar considerablemente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los niveles de exposición en el cumplimiento de las normas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aplicables 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y 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son muy conservadoras </w:t>
      </w:r>
      <w:r w:rsidRPr="00063409">
        <w:rPr>
          <w:rFonts w:ascii="Times New Roman" w:eastAsia="Times New Roman" w:hAnsi="Times New Roman" w:cs="Times New Roman"/>
          <w:color w:val="000000"/>
          <w:sz w:val="12"/>
          <w:szCs w:val="12"/>
          <w:lang w:eastAsia="es-MX"/>
        </w:rPr>
        <w:t>2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. </w:t>
      </w:r>
    </w:p>
    <w:p w:rsidR="00063409" w:rsidRPr="00063409" w:rsidRDefault="008B1DE0" w:rsidP="000F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Además,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</w:t>
      </w:r>
      <w:r w:rsidR="00063409"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 ensayos SAR de los dispositivos se ll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evan a cabo a niveles máximos 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en c</w:t>
      </w:r>
      <w:r w:rsidR="00063409"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ondiciones de laboratorio, mientras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que en realidad operan 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 niveles de potencia</w:t>
      </w:r>
      <w:r w:rsidR="00063409"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significativamente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más bajos</w:t>
      </w:r>
      <w:r w:rsidR="00063409"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adaptándose constantemente para utilizar la potencia mínima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h</w:t>
      </w:r>
      <w:r w:rsidR="00063409"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acer y recibir una llamada, con el fin de maximizar la duración de la batería.</w:t>
      </w:r>
    </w:p>
    <w:p w:rsidR="00063409" w:rsidRDefault="00063409" w:rsidP="000F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Varios estudios </w:t>
      </w:r>
      <w:r w:rsidRPr="00063409">
        <w:rPr>
          <w:rFonts w:ascii="Times New Roman" w:eastAsia="Times New Roman" w:hAnsi="Times New Roman" w:cs="Times New Roman"/>
          <w:color w:val="000000"/>
          <w:sz w:val="12"/>
          <w:szCs w:val="12"/>
          <w:lang w:eastAsia="es-MX"/>
        </w:rPr>
        <w:t>3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, incluyendo </w:t>
      </w:r>
      <w:r w:rsidR="008B1DE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el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estudio francés </w:t>
      </w:r>
      <w:r w:rsidRPr="00063409">
        <w:rPr>
          <w:rFonts w:ascii="Times New Roman" w:eastAsia="Times New Roman" w:hAnsi="Times New Roman" w:cs="Times New Roman"/>
          <w:color w:val="000000"/>
          <w:sz w:val="12"/>
          <w:szCs w:val="12"/>
          <w:lang w:eastAsia="es-MX"/>
        </w:rPr>
        <w:t>4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de los teléfonos móviles en el uso diario,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h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an demostrado que cuando se habla en un teléfono móvil mientras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se encuentra dentro de e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dificios 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 dentro de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la ciudad, los smartphones suelen operar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a una f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racción de la potencia máxima del teléfono. En el 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estudio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francés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 investigadores observaron que el 90% de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todas las mediciones recogidas i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ncluyendo las tomadas en interiores y al aire libre, eran menos de 4dBm que es</w:t>
      </w:r>
      <w:r w:rsidR="000F788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E0188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proximadamente el 1% de la potencia máxima emitida. Como resultado, concluyeron:</w:t>
      </w:r>
    </w:p>
    <w:p w:rsidR="000F788C" w:rsidRPr="00063409" w:rsidRDefault="000F788C" w:rsidP="000F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063409" w:rsidRDefault="00063409" w:rsidP="000F78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MX"/>
        </w:rPr>
      </w:pPr>
      <w:r w:rsidRPr="00063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MX"/>
        </w:rPr>
        <w:t>La exposición real debida a los teléfonos móviles en términos de</w:t>
      </w:r>
      <w:r w:rsidR="000F7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MX"/>
        </w:rPr>
        <w:t xml:space="preserve"> l</w:t>
      </w:r>
      <w:r w:rsidRPr="00063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MX"/>
        </w:rPr>
        <w:t>a tasa de absorción (SAR) es entonces muy inferior (100 veces</w:t>
      </w:r>
      <w:r w:rsidR="00E018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MX"/>
        </w:rPr>
        <w:t xml:space="preserve"> por debajo)</w:t>
      </w:r>
      <w:r w:rsidR="000F7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MX"/>
        </w:rPr>
        <w:t xml:space="preserve"> d</w:t>
      </w:r>
      <w:r w:rsidR="00E018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MX"/>
        </w:rPr>
        <w:t>e los v</w:t>
      </w:r>
      <w:r w:rsidRPr="00063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MX"/>
        </w:rPr>
        <w:t xml:space="preserve">alores </w:t>
      </w:r>
      <w:r w:rsidR="000F7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MX"/>
        </w:rPr>
        <w:t>n</w:t>
      </w:r>
      <w:r w:rsidRPr="00063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MX"/>
        </w:rPr>
        <w:t>ormativos dados a las máximas potencias.</w:t>
      </w:r>
    </w:p>
    <w:p w:rsidR="000F788C" w:rsidRPr="00063409" w:rsidRDefault="000F788C" w:rsidP="000F78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0F788C" w:rsidRDefault="00063409" w:rsidP="000F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Además, todos los modelos de teléfonos móviles se prueban para asegurarse de</w:t>
      </w:r>
      <w:r w:rsidR="000F788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</w:t>
      </w:r>
      <w:r w:rsidR="008B1DE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as normas nacionales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/internacionales de exposición a RF</w:t>
      </w:r>
      <w:r w:rsidR="000F788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a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ntes de su </w:t>
      </w:r>
      <w:r w:rsidR="000F788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omercialización. </w:t>
      </w:r>
    </w:p>
    <w:p w:rsidR="00063409" w:rsidRDefault="000F788C" w:rsidP="000F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Par</w:t>
      </w:r>
      <w:r w:rsidR="00063409"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la</w:t>
      </w:r>
      <w:r w:rsidR="00063409"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exposición a RF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</w:t>
      </w:r>
      <w:r w:rsidR="00063409"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 han establecido estándares para especificar el SAR máximo permitido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d</w:t>
      </w:r>
      <w:r w:rsidR="00063409"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ispositivos inalámbricos de comunicación como los teléfonos móviles. Una seguridad adicional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t</w:t>
      </w:r>
      <w:r w:rsidR="00063409"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ambién existe para garantiz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ar que todos los usuarios, incluidos l</w:t>
      </w:r>
      <w:r w:rsidR="00063409"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 niños, las mujeres embarazadas y las personas mayores, pueden utilizar estos dispositivos con seguridad.</w:t>
      </w:r>
    </w:p>
    <w:p w:rsidR="000F788C" w:rsidRPr="00063409" w:rsidRDefault="000F788C" w:rsidP="000F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063409" w:rsidRPr="00063409" w:rsidRDefault="00063409" w:rsidP="000F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1 </w:t>
      </w:r>
      <w:r w:rsidRPr="00063409">
        <w:rPr>
          <w:rFonts w:ascii="Times New Roman" w:eastAsia="Times New Roman" w:hAnsi="Times New Roman" w:cs="Times New Roman"/>
          <w:color w:val="000000"/>
          <w:sz w:val="17"/>
          <w:szCs w:val="17"/>
          <w:lang w:eastAsia="es-MX"/>
        </w:rPr>
        <w:t>SAR significa tasa de absorción específica.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r w:rsidRPr="00063409">
        <w:rPr>
          <w:rFonts w:ascii="Times New Roman" w:eastAsia="Times New Roman" w:hAnsi="Times New Roman" w:cs="Times New Roman"/>
          <w:color w:val="000000"/>
          <w:sz w:val="17"/>
          <w:szCs w:val="17"/>
          <w:lang w:eastAsia="es-MX"/>
        </w:rPr>
        <w:t>Puede encontrar información detallada sobre SAR en</w:t>
      </w:r>
    </w:p>
    <w:p w:rsidR="00063409" w:rsidRPr="00063409" w:rsidRDefault="00063409" w:rsidP="000F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Http://www.sartick.com</w:t>
      </w:r>
    </w:p>
    <w:p w:rsidR="00063409" w:rsidRPr="00063409" w:rsidRDefault="00063409" w:rsidP="000F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2 </w:t>
      </w:r>
      <w:r w:rsidRPr="00063409">
        <w:rPr>
          <w:rFonts w:ascii="Times New Roman" w:eastAsia="Times New Roman" w:hAnsi="Times New Roman" w:cs="Times New Roman"/>
          <w:color w:val="0000FF"/>
          <w:sz w:val="17"/>
          <w:szCs w:val="17"/>
          <w:lang w:eastAsia="es-MX"/>
        </w:rPr>
        <w:t>http://www.mwfai.org/docs/eng/111025__MMF_Viewpoint_SARSAMconservativness_final.pdf</w:t>
      </w:r>
    </w:p>
    <w:p w:rsidR="00063409" w:rsidRPr="00063409" w:rsidRDefault="00063409" w:rsidP="000F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3 </w:t>
      </w:r>
      <w:r w:rsidRPr="00063409">
        <w:rPr>
          <w:rFonts w:ascii="Times New Roman" w:eastAsia="Times New Roman" w:hAnsi="Times New Roman" w:cs="Times New Roman"/>
          <w:color w:val="000000"/>
          <w:sz w:val="17"/>
          <w:szCs w:val="17"/>
          <w:lang w:eastAsia="es-MX"/>
        </w:rPr>
        <w:t>Véase, por ejemplo, Persson et al., Distribuciones de potencia de salida de terminales en un móvil 3G</w:t>
      </w:r>
    </w:p>
    <w:p w:rsidR="00063409" w:rsidRPr="00063409" w:rsidRDefault="00063409" w:rsidP="000F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Red de </w:t>
      </w:r>
      <w:r w:rsidRPr="00063409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es-MX"/>
        </w:rPr>
        <w:t>comunicación Bioelectromagnetics.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r w:rsidRPr="00063409"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  <w:t>, Vol.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r w:rsidRPr="00063409"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  <w:t>33, pág.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r w:rsidRPr="00063409"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  <w:t>320 - 325, 2012 y</w:t>
      </w:r>
    </w:p>
    <w:p w:rsidR="00063409" w:rsidRPr="00063409" w:rsidRDefault="00063409" w:rsidP="000F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4 </w:t>
      </w:r>
      <w:r w:rsidRPr="00063409">
        <w:rPr>
          <w:rFonts w:ascii="Times New Roman" w:eastAsia="Times New Roman" w:hAnsi="Times New Roman" w:cs="Times New Roman"/>
          <w:color w:val="000000"/>
          <w:sz w:val="17"/>
          <w:szCs w:val="17"/>
          <w:lang w:eastAsia="es-MX"/>
        </w:rPr>
        <w:t>Wiart et.al.</w:t>
      </w:r>
      <w:r w:rsidRPr="000634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r w:rsidRPr="00063409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E6ECF9"/>
          <w:lang w:eastAsia="es-MX"/>
        </w:rPr>
        <w:t>Exposición inducida por los teléfonos móviles WCDMA</w:t>
      </w:r>
    </w:p>
    <w:p w:rsidR="00063409" w:rsidRPr="00063409" w:rsidRDefault="00063409" w:rsidP="00063409"/>
    <w:sectPr w:rsidR="00063409" w:rsidRPr="00063409" w:rsidSect="000F788C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7B" w:rsidRDefault="00DF697B" w:rsidP="000F788C">
      <w:pPr>
        <w:spacing w:after="0" w:line="240" w:lineRule="auto"/>
      </w:pPr>
      <w:r>
        <w:separator/>
      </w:r>
    </w:p>
  </w:endnote>
  <w:endnote w:type="continuationSeparator" w:id="0">
    <w:p w:rsidR="00DF697B" w:rsidRDefault="00DF697B" w:rsidP="000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7B" w:rsidRDefault="00DF697B" w:rsidP="000F788C">
      <w:pPr>
        <w:spacing w:after="0" w:line="240" w:lineRule="auto"/>
      </w:pPr>
      <w:r>
        <w:separator/>
      </w:r>
    </w:p>
  </w:footnote>
  <w:footnote w:type="continuationSeparator" w:id="0">
    <w:p w:rsidR="00DF697B" w:rsidRDefault="00DF697B" w:rsidP="000F7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09"/>
    <w:rsid w:val="00063409"/>
    <w:rsid w:val="000F788C"/>
    <w:rsid w:val="00165AEC"/>
    <w:rsid w:val="004E0D87"/>
    <w:rsid w:val="006D584A"/>
    <w:rsid w:val="008B1DE0"/>
    <w:rsid w:val="00A0373F"/>
    <w:rsid w:val="00BA5F24"/>
    <w:rsid w:val="00BB6377"/>
    <w:rsid w:val="00BE5026"/>
    <w:rsid w:val="00D64A38"/>
    <w:rsid w:val="00DF697B"/>
    <w:rsid w:val="00E0188A"/>
    <w:rsid w:val="00F85FF9"/>
    <w:rsid w:val="00FB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AED12-A04D-4CCC-BE75-BCA01FFB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88C"/>
  </w:style>
  <w:style w:type="paragraph" w:styleId="Piedepgina">
    <w:name w:val="footer"/>
    <w:basedOn w:val="Normal"/>
    <w:link w:val="PiedepginaCar"/>
    <w:uiPriority w:val="99"/>
    <w:unhideWhenUsed/>
    <w:rsid w:val="000F7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469">
              <w:marLeft w:val="0"/>
              <w:marRight w:val="0"/>
              <w:marTop w:val="0"/>
              <w:marBottom w:val="270"/>
              <w:divBdr>
                <w:top w:val="single" w:sz="6" w:space="0" w:color="B0B0B0"/>
                <w:left w:val="single" w:sz="6" w:space="15" w:color="B0B0B0"/>
                <w:bottom w:val="single" w:sz="6" w:space="15" w:color="B0B0B0"/>
                <w:right w:val="single" w:sz="6" w:space="15" w:color="B0B0B0"/>
              </w:divBdr>
              <w:divsChild>
                <w:div w:id="14479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0849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121962">
          <w:marLeft w:val="0"/>
          <w:marRight w:val="0"/>
          <w:marTop w:val="0"/>
          <w:marBottom w:val="270"/>
          <w:divBdr>
            <w:top w:val="single" w:sz="6" w:space="15" w:color="B0B0B0"/>
            <w:left w:val="single" w:sz="6" w:space="15" w:color="B0B0B0"/>
            <w:bottom w:val="single" w:sz="6" w:space="15" w:color="B0B0B0"/>
            <w:right w:val="single" w:sz="6" w:space="15" w:color="B0B0B0"/>
          </w:divBdr>
          <w:divsChild>
            <w:div w:id="1798253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MEXSEMI R5-1</dc:creator>
  <cp:lastModifiedBy>Dalia</cp:lastModifiedBy>
  <cp:revision>2</cp:revision>
  <dcterms:created xsi:type="dcterms:W3CDTF">2017-05-24T19:09:00Z</dcterms:created>
  <dcterms:modified xsi:type="dcterms:W3CDTF">2017-05-24T19:09:00Z</dcterms:modified>
</cp:coreProperties>
</file>